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A8" w:rsidRPr="00DE37A8" w:rsidRDefault="00DE37A8" w:rsidP="00DE37A8">
      <w:pPr>
        <w:spacing w:after="300" w:line="240" w:lineRule="auto"/>
        <w:jc w:val="center"/>
        <w:rPr>
          <w:rFonts w:ascii="Times New Roman" w:eastAsia="Calibri" w:hAnsi="Times New Roman" w:cs="Times New Roman"/>
          <w:sz w:val="28"/>
          <w:szCs w:val="28"/>
        </w:rPr>
      </w:pPr>
      <w:bookmarkStart w:id="0" w:name="_GoBack"/>
      <w:bookmarkEnd w:id="0"/>
      <w:r w:rsidRPr="00DE37A8">
        <w:rPr>
          <w:rFonts w:ascii="Times New Roman" w:hAnsi="Times New Roman" w:cs="Times New Roman"/>
          <w:sz w:val="28"/>
          <w:szCs w:val="28"/>
        </w:rPr>
        <w:t xml:space="preserve">Разъяснения </w:t>
      </w:r>
      <w:r w:rsidRPr="00DE37A8">
        <w:rPr>
          <w:rFonts w:ascii="Times New Roman" w:eastAsia="Calibri" w:hAnsi="Times New Roman" w:cs="Times New Roman"/>
          <w:sz w:val="28"/>
          <w:szCs w:val="28"/>
        </w:rPr>
        <w:t>о применении Кодификатора назначения платежа</w:t>
      </w:r>
      <w:r>
        <w:rPr>
          <w:rFonts w:ascii="Times New Roman" w:eastAsia="Calibri" w:hAnsi="Times New Roman" w:cs="Times New Roman"/>
          <w:sz w:val="28"/>
          <w:szCs w:val="28"/>
        </w:rPr>
        <w:t xml:space="preserve"> </w:t>
      </w:r>
      <w:r w:rsidR="00AC3F2F">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Республике Беларусь</w:t>
      </w:r>
    </w:p>
    <w:p w:rsidR="00DE37A8" w:rsidRDefault="00DE37A8" w:rsidP="00DE37A8">
      <w:pPr>
        <w:spacing w:after="0" w:line="240" w:lineRule="auto"/>
        <w:ind w:firstLine="709"/>
        <w:jc w:val="both"/>
        <w:rPr>
          <w:rFonts w:ascii="Times New Roman" w:eastAsia="Times New Roman" w:hAnsi="Times New Roman" w:cs="Times New Roman"/>
          <w:sz w:val="30"/>
          <w:szCs w:val="24"/>
          <w:lang w:eastAsia="ru-RU"/>
        </w:rPr>
      </w:pPr>
      <w:r w:rsidRPr="00DE37A8">
        <w:rPr>
          <w:rFonts w:ascii="Times New Roman" w:eastAsia="Times New Roman" w:hAnsi="Times New Roman" w:cs="Times New Roman"/>
          <w:sz w:val="28"/>
          <w:szCs w:val="28"/>
          <w:lang w:eastAsia="ru-RU"/>
        </w:rPr>
        <w:t xml:space="preserve"> В связи с поступающими вопросами о применении Кодификатора назначения платежа в Республике Беларусь (далее – КНП) в рамках опытно-промышленной эксплуатации модернизированных автоматизированных систем Национального банка, банков и государственных органов, представляем разъяснения по применению КНП, полученные от Национального банка (письмо от 16.08.2022 №</w:t>
      </w:r>
      <w:r>
        <w:rPr>
          <w:rFonts w:ascii="Times New Roman" w:eastAsia="Times New Roman" w:hAnsi="Times New Roman" w:cs="Times New Roman"/>
          <w:sz w:val="28"/>
          <w:szCs w:val="28"/>
          <w:lang w:eastAsia="ru-RU"/>
        </w:rPr>
        <w:t xml:space="preserve"> </w:t>
      </w:r>
      <w:r w:rsidRPr="00DE37A8">
        <w:rPr>
          <w:rFonts w:ascii="Times New Roman" w:eastAsia="Times New Roman" w:hAnsi="Times New Roman" w:cs="Times New Roman"/>
          <w:sz w:val="28"/>
          <w:szCs w:val="28"/>
          <w:lang w:eastAsia="ru-RU"/>
        </w:rPr>
        <w:t>03-15/126).</w:t>
      </w:r>
      <w:r w:rsidRPr="00DE37A8">
        <w:rPr>
          <w:rFonts w:ascii="Times New Roman" w:eastAsia="Times New Roman" w:hAnsi="Times New Roman" w:cs="Times New Roman"/>
          <w:sz w:val="30"/>
          <w:szCs w:val="24"/>
          <w:lang w:eastAsia="ru-RU"/>
        </w:rPr>
        <w:t xml:space="preserve"> </w:t>
      </w:r>
    </w:p>
    <w:p w:rsidR="00DE37A8" w:rsidRPr="00DE37A8" w:rsidRDefault="00DE37A8" w:rsidP="00DE37A8">
      <w:pPr>
        <w:spacing w:after="0" w:line="240" w:lineRule="auto"/>
        <w:ind w:firstLine="709"/>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1. Платежи юридических и физических лиц можно разделить на две следующие большие группы:</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платежи в бюджет;</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иные платежи, в том числе за товары, услуги (финансовые и нефинансовые), выплата заработной платы и иных выплат, операции с капиталом и т.д.</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Согласно КНП платежи в белорусских рублях, инициированные на территории Республики Беларусь, кодируются следующим образом:</w:t>
      </w:r>
    </w:p>
    <w:p w:rsidR="00DE37A8" w:rsidRPr="00DE37A8" w:rsidRDefault="00DE37A8" w:rsidP="00DE37A8">
      <w:pPr>
        <w:autoSpaceDE w:val="0"/>
        <w:autoSpaceDN w:val="0"/>
        <w:adjustRightInd w:val="0"/>
        <w:spacing w:after="0" w:line="240" w:lineRule="auto"/>
        <w:ind w:firstLine="708"/>
        <w:jc w:val="center"/>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ЕЕЕЕ Х АВВСС</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где ЕЕЕЕ – код категории назначения перевода согласно справочнику Е004;</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 xml:space="preserve">Х – признак платежа; </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АВВСС – код назначения платежа.</w:t>
      </w:r>
    </w:p>
    <w:p w:rsidR="00DE37A8" w:rsidRPr="00DE37A8" w:rsidRDefault="00DE37A8" w:rsidP="00DE37A8">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 xml:space="preserve">1.1. При осуществлении платежей в бюджет юридическими и физическими лицами может быть выбран любой из следующих кодов категории назначения перевода (ЕЕЕЕ): </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TAXS – уплата налогов и других платежей в бюджет (в том числе платежи из бюджета);</w:t>
      </w:r>
    </w:p>
    <w:p w:rsidR="00DE37A8" w:rsidRPr="00DE37A8" w:rsidRDefault="00DE37A8" w:rsidP="00DE37A8">
      <w:pPr>
        <w:spacing w:after="0" w:line="240" w:lineRule="auto"/>
        <w:ind w:firstLine="708"/>
        <w:rPr>
          <w:rFonts w:ascii="Times New Roman" w:eastAsia="Calibri" w:hAnsi="Times New Roman" w:cs="Times New Roman"/>
          <w:sz w:val="30"/>
          <w:szCs w:val="30"/>
        </w:rPr>
      </w:pPr>
      <w:r w:rsidRPr="00DE37A8">
        <w:rPr>
          <w:rFonts w:ascii="Times New Roman" w:eastAsia="Calibri" w:hAnsi="Times New Roman" w:cs="Times New Roman"/>
          <w:sz w:val="30"/>
          <w:szCs w:val="30"/>
        </w:rPr>
        <w:t>VATX – уплата налога на добавленную стоимость;</w:t>
      </w:r>
    </w:p>
    <w:p w:rsidR="00DE37A8" w:rsidRPr="00DE37A8" w:rsidRDefault="00DE37A8" w:rsidP="00DE37A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E37A8">
        <w:rPr>
          <w:rFonts w:ascii="Times New Roman" w:eastAsia="Calibri" w:hAnsi="Times New Roman" w:cs="Times New Roman"/>
          <w:sz w:val="30"/>
          <w:szCs w:val="30"/>
        </w:rPr>
        <w:t>WHLD – уплата налога на источники дохода (в том числе при осуществлении расчетов по источникам финансирования).</w:t>
      </w:r>
    </w:p>
    <w:p w:rsidR="00DE37A8" w:rsidRPr="00DE37A8" w:rsidRDefault="00DE37A8" w:rsidP="00DE37A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u w:val="single"/>
          <w:lang w:eastAsia="ru-RU"/>
        </w:rPr>
        <w:t>Коды TREA и GOVT используются только Министерством финансов (его территориальными органами)</w:t>
      </w:r>
      <w:r w:rsidRPr="00DE37A8">
        <w:rPr>
          <w:rFonts w:ascii="Times New Roman" w:eastAsia="Calibri" w:hAnsi="Times New Roman" w:cs="Times New Roman"/>
          <w:sz w:val="30"/>
          <w:szCs w:val="30"/>
        </w:rPr>
        <w:t>.</w:t>
      </w:r>
    </w:p>
    <w:p w:rsidR="00DE37A8" w:rsidRPr="00DE37A8" w:rsidRDefault="00DE37A8" w:rsidP="00DE37A8">
      <w:pPr>
        <w:spacing w:after="0" w:line="240" w:lineRule="auto"/>
        <w:ind w:firstLine="709"/>
        <w:jc w:val="both"/>
        <w:rPr>
          <w:rFonts w:ascii="Times New Roman" w:eastAsia="Times New Roman" w:hAnsi="Times New Roman" w:cs="Times New Roman"/>
          <w:sz w:val="30"/>
          <w:szCs w:val="30"/>
          <w:lang w:eastAsia="ru-RU"/>
        </w:rPr>
      </w:pPr>
      <w:r w:rsidRPr="00DE37A8">
        <w:rPr>
          <w:rFonts w:ascii="Times New Roman" w:eastAsia="Times New Roman" w:hAnsi="Times New Roman" w:cs="Times New Roman"/>
          <w:sz w:val="30"/>
          <w:szCs w:val="30"/>
          <w:lang w:eastAsia="ru-RU"/>
        </w:rPr>
        <w:t xml:space="preserve">В случае, если при заполнении платежной инструкции указывается код категории назначения перевода, характеризующий платеж в бюджет, то должен также обязательно заполняться </w:t>
      </w:r>
      <w:proofErr w:type="gramStart"/>
      <w:r w:rsidRPr="00DE37A8">
        <w:rPr>
          <w:rFonts w:ascii="Times New Roman" w:eastAsia="Times New Roman" w:hAnsi="Times New Roman" w:cs="Times New Roman"/>
          <w:sz w:val="30"/>
          <w:szCs w:val="30"/>
          <w:lang w:eastAsia="ru-RU"/>
        </w:rPr>
        <w:t>блок ”Информация</w:t>
      </w:r>
      <w:proofErr w:type="gramEnd"/>
      <w:r w:rsidRPr="00DE37A8">
        <w:rPr>
          <w:rFonts w:ascii="Times New Roman" w:eastAsia="Times New Roman" w:hAnsi="Times New Roman" w:cs="Times New Roman"/>
          <w:sz w:val="30"/>
          <w:szCs w:val="30"/>
          <w:lang w:eastAsia="ru-RU"/>
        </w:rPr>
        <w:t xml:space="preserve"> о налогах и сборах“, включающий в том числе код платежа в бюджет.</w:t>
      </w:r>
    </w:p>
    <w:p w:rsidR="00DE37A8" w:rsidRPr="00DE37A8" w:rsidRDefault="00DE37A8" w:rsidP="00DE37A8">
      <w:pPr>
        <w:spacing w:after="0" w:line="240" w:lineRule="auto"/>
        <w:ind w:firstLine="709"/>
        <w:jc w:val="both"/>
        <w:rPr>
          <w:rFonts w:ascii="Times New Roman" w:eastAsia="Times New Roman" w:hAnsi="Times New Roman" w:cs="Times New Roman"/>
          <w:b/>
          <w:sz w:val="30"/>
          <w:szCs w:val="30"/>
          <w:u w:val="single"/>
          <w:lang w:eastAsia="ru-RU"/>
        </w:rPr>
      </w:pPr>
      <w:r w:rsidRPr="00DE37A8">
        <w:rPr>
          <w:rFonts w:ascii="Times New Roman" w:eastAsia="Times New Roman" w:hAnsi="Times New Roman" w:cs="Times New Roman"/>
          <w:b/>
          <w:sz w:val="30"/>
          <w:szCs w:val="30"/>
          <w:u w:val="single"/>
          <w:lang w:eastAsia="ru-RU"/>
        </w:rPr>
        <w:t>Таким образом, система кодирования платежей в бюджет при осуществлении платежей юридическими и физическими лицами будет выглядеть следующим образом:</w:t>
      </w:r>
    </w:p>
    <w:p w:rsidR="00DE37A8" w:rsidRPr="00DE37A8" w:rsidRDefault="00DE37A8" w:rsidP="00DE37A8">
      <w:pPr>
        <w:spacing w:after="0" w:line="240" w:lineRule="auto"/>
        <w:ind w:firstLine="709"/>
        <w:jc w:val="both"/>
        <w:rPr>
          <w:rFonts w:ascii="Times New Roman" w:eastAsia="Times New Roman" w:hAnsi="Times New Roman" w:cs="Times New Roman"/>
          <w:b/>
          <w:sz w:val="30"/>
          <w:szCs w:val="30"/>
          <w:lang w:eastAsia="ru-RU"/>
        </w:rPr>
      </w:pPr>
      <w:r w:rsidRPr="00DE37A8">
        <w:rPr>
          <w:rFonts w:ascii="Times New Roman" w:eastAsia="Times New Roman" w:hAnsi="Times New Roman" w:cs="Times New Roman"/>
          <w:b/>
          <w:sz w:val="30"/>
          <w:szCs w:val="30"/>
          <w:lang w:val="en-US" w:eastAsia="ru-RU"/>
        </w:rPr>
        <w:t>TAXS</w:t>
      </w:r>
      <w:r w:rsidRPr="00DE37A8">
        <w:rPr>
          <w:rFonts w:ascii="Times New Roman" w:eastAsia="Times New Roman" w:hAnsi="Times New Roman" w:cs="Times New Roman"/>
          <w:b/>
          <w:sz w:val="30"/>
          <w:szCs w:val="30"/>
          <w:lang w:eastAsia="ru-RU"/>
        </w:rPr>
        <w:t xml:space="preserve"> (либо </w:t>
      </w:r>
      <w:r w:rsidRPr="00DE37A8">
        <w:rPr>
          <w:rFonts w:ascii="Times New Roman" w:eastAsia="Times New Roman" w:hAnsi="Times New Roman" w:cs="Times New Roman"/>
          <w:b/>
          <w:sz w:val="30"/>
          <w:szCs w:val="30"/>
          <w:lang w:val="en-US" w:eastAsia="ru-RU"/>
        </w:rPr>
        <w:t>VATX</w:t>
      </w:r>
      <w:r w:rsidRPr="00DE37A8">
        <w:rPr>
          <w:rFonts w:ascii="Times New Roman" w:eastAsia="Times New Roman" w:hAnsi="Times New Roman" w:cs="Times New Roman"/>
          <w:b/>
          <w:sz w:val="30"/>
          <w:szCs w:val="30"/>
          <w:lang w:eastAsia="ru-RU"/>
        </w:rPr>
        <w:t xml:space="preserve">, </w:t>
      </w:r>
      <w:r w:rsidRPr="00DE37A8">
        <w:rPr>
          <w:rFonts w:ascii="Times New Roman" w:eastAsia="Times New Roman" w:hAnsi="Times New Roman" w:cs="Times New Roman"/>
          <w:b/>
          <w:sz w:val="30"/>
          <w:szCs w:val="30"/>
          <w:lang w:val="en-US" w:eastAsia="ru-RU"/>
        </w:rPr>
        <w:t>WHLD</w:t>
      </w:r>
      <w:r w:rsidRPr="00DE37A8">
        <w:rPr>
          <w:rFonts w:ascii="Times New Roman" w:eastAsia="Times New Roman" w:hAnsi="Times New Roman" w:cs="Times New Roman"/>
          <w:b/>
          <w:sz w:val="30"/>
          <w:szCs w:val="30"/>
          <w:lang w:eastAsia="ru-RU"/>
        </w:rPr>
        <w:t xml:space="preserve">) 190101 (за исключением </w:t>
      </w:r>
      <w:r w:rsidRPr="00DE37A8">
        <w:rPr>
          <w:rFonts w:ascii="Times New Roman" w:eastAsia="Times New Roman" w:hAnsi="Times New Roman" w:cs="Times New Roman"/>
          <w:sz w:val="30"/>
          <w:szCs w:val="30"/>
          <w:lang w:eastAsia="ru-RU"/>
        </w:rPr>
        <w:t>платежей</w:t>
      </w:r>
      <w:r w:rsidRPr="00DE37A8">
        <w:rPr>
          <w:rFonts w:ascii="Times New Roman" w:eastAsia="Calibri" w:hAnsi="Times New Roman" w:cs="Times New Roman"/>
          <w:sz w:val="30"/>
          <w:szCs w:val="30"/>
        </w:rPr>
        <w:t xml:space="preserve"> в государственный внебюджетный фонд социальной защиты населения Республики Беларусь</w:t>
      </w:r>
      <w:r w:rsidRPr="00DE37A8">
        <w:rPr>
          <w:rFonts w:ascii="Times New Roman" w:eastAsia="Times New Roman" w:hAnsi="Times New Roman" w:cs="Times New Roman"/>
          <w:b/>
          <w:sz w:val="30"/>
          <w:szCs w:val="30"/>
          <w:lang w:eastAsia="ru-RU"/>
        </w:rPr>
        <w:t xml:space="preserve">) и </w:t>
      </w:r>
      <w:r w:rsidRPr="00DE37A8">
        <w:rPr>
          <w:rFonts w:ascii="Times New Roman" w:eastAsia="Times New Roman" w:hAnsi="Times New Roman" w:cs="Times New Roman"/>
          <w:b/>
          <w:sz w:val="30"/>
          <w:szCs w:val="30"/>
          <w:lang w:val="en-US" w:eastAsia="ru-RU"/>
        </w:rPr>
        <w:t>TAXS</w:t>
      </w:r>
      <w:r w:rsidRPr="00DE37A8">
        <w:rPr>
          <w:rFonts w:ascii="Times New Roman" w:eastAsia="Times New Roman" w:hAnsi="Times New Roman" w:cs="Times New Roman"/>
          <w:b/>
          <w:sz w:val="30"/>
          <w:szCs w:val="30"/>
          <w:lang w:eastAsia="ru-RU"/>
        </w:rPr>
        <w:t xml:space="preserve"> 190102 </w:t>
      </w:r>
      <w:r w:rsidRPr="00DE37A8">
        <w:rPr>
          <w:rFonts w:ascii="Times New Roman" w:eastAsia="Times New Roman" w:hAnsi="Times New Roman" w:cs="Times New Roman"/>
          <w:sz w:val="30"/>
          <w:szCs w:val="30"/>
          <w:lang w:eastAsia="ru-RU"/>
        </w:rPr>
        <w:t>(платежи</w:t>
      </w:r>
      <w:r w:rsidRPr="00DE37A8">
        <w:rPr>
          <w:rFonts w:ascii="Times New Roman" w:eastAsia="Calibri" w:hAnsi="Times New Roman" w:cs="Times New Roman"/>
          <w:sz w:val="30"/>
          <w:szCs w:val="30"/>
        </w:rPr>
        <w:t xml:space="preserve"> в государственный внебюджетный фонд социальной защиты населения Республики </w:t>
      </w:r>
      <w:r w:rsidRPr="00DE37A8">
        <w:rPr>
          <w:rFonts w:ascii="Times New Roman" w:eastAsia="Calibri" w:hAnsi="Times New Roman" w:cs="Times New Roman"/>
          <w:sz w:val="30"/>
          <w:szCs w:val="30"/>
        </w:rPr>
        <w:lastRenderedPageBreak/>
        <w:t>Беларусь (обязательные страховые взносы, взносы на профессиональное пенсионное страхование, иные платежи в бюджет фонда).</w:t>
      </w:r>
    </w:p>
    <w:p w:rsidR="00DE37A8" w:rsidRPr="00DE37A8" w:rsidRDefault="00DE37A8" w:rsidP="00DE37A8">
      <w:pPr>
        <w:autoSpaceDE w:val="0"/>
        <w:autoSpaceDN w:val="0"/>
        <w:adjustRightInd w:val="0"/>
        <w:spacing w:after="0" w:line="240" w:lineRule="auto"/>
        <w:ind w:firstLine="709"/>
        <w:jc w:val="both"/>
        <w:rPr>
          <w:rFonts w:ascii="Times New Roman" w:eastAsia="Calibri" w:hAnsi="Times New Roman" w:cs="Times New Roman"/>
          <w:b/>
          <w:sz w:val="30"/>
          <w:szCs w:val="30"/>
        </w:rPr>
      </w:pPr>
      <w:r w:rsidRPr="00DE37A8">
        <w:rPr>
          <w:rFonts w:ascii="Times New Roman" w:eastAsia="Times New Roman" w:hAnsi="Times New Roman" w:cs="Times New Roman"/>
          <w:sz w:val="30"/>
          <w:szCs w:val="30"/>
          <w:lang w:eastAsia="ru-RU"/>
        </w:rPr>
        <w:t>1.2. Иные платежи, в том числе за товары, услуги (финансовые и нефинансовые), выплата заработной платы и иных выплат, операции с капиталом и т.д.</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Проставление кодов категории назначения перевода (ЕЕЕЕ) по иным платежам </w:t>
      </w:r>
      <w:r w:rsidRPr="00DE37A8">
        <w:rPr>
          <w:rFonts w:ascii="Times New Roman" w:eastAsia="Calibri" w:hAnsi="Times New Roman" w:cs="Times New Roman"/>
          <w:b/>
          <w:sz w:val="30"/>
          <w:szCs w:val="30"/>
          <w:u w:val="single"/>
        </w:rPr>
        <w:t>зависит от способа осуществления платежа</w:t>
      </w:r>
      <w:r w:rsidRPr="00DE37A8">
        <w:rPr>
          <w:rFonts w:ascii="Times New Roman" w:eastAsia="Calibri" w:hAnsi="Times New Roman" w:cs="Times New Roman"/>
          <w:sz w:val="30"/>
          <w:szCs w:val="30"/>
        </w:rPr>
        <w:t xml:space="preserve"> – </w:t>
      </w:r>
      <w:r w:rsidRPr="00DE37A8">
        <w:rPr>
          <w:rFonts w:ascii="Times New Roman" w:eastAsia="Calibri" w:hAnsi="Times New Roman" w:cs="Times New Roman"/>
          <w:sz w:val="30"/>
          <w:szCs w:val="30"/>
          <w:lang w:val="en-US"/>
        </w:rPr>
        <w:t>CASH</w:t>
      </w:r>
      <w:r w:rsidRPr="00DE37A8">
        <w:rPr>
          <w:rFonts w:ascii="Times New Roman" w:eastAsia="Calibri" w:hAnsi="Times New Roman" w:cs="Times New Roman"/>
          <w:sz w:val="30"/>
          <w:szCs w:val="30"/>
        </w:rPr>
        <w:t xml:space="preserve">, </w:t>
      </w:r>
      <w:r w:rsidRPr="00DE37A8">
        <w:rPr>
          <w:rFonts w:ascii="Times New Roman" w:eastAsia="Calibri" w:hAnsi="Times New Roman" w:cs="Times New Roman"/>
          <w:sz w:val="30"/>
          <w:szCs w:val="30"/>
          <w:lang w:val="en-US"/>
        </w:rPr>
        <w:t>EPAY</w:t>
      </w:r>
      <w:r w:rsidRPr="00DE37A8">
        <w:rPr>
          <w:rFonts w:ascii="Times New Roman" w:eastAsia="Calibri" w:hAnsi="Times New Roman" w:cs="Times New Roman"/>
          <w:sz w:val="30"/>
          <w:szCs w:val="30"/>
        </w:rPr>
        <w:t xml:space="preserve">, </w:t>
      </w:r>
      <w:r w:rsidRPr="00DE37A8">
        <w:rPr>
          <w:rFonts w:ascii="Times New Roman" w:eastAsia="Calibri" w:hAnsi="Times New Roman" w:cs="Times New Roman"/>
          <w:sz w:val="30"/>
          <w:szCs w:val="30"/>
          <w:lang w:val="en-US"/>
        </w:rPr>
        <w:t>MP</w:t>
      </w:r>
      <w:r w:rsidRPr="00DE37A8">
        <w:rPr>
          <w:rFonts w:ascii="Times New Roman" w:eastAsia="Calibri" w:hAnsi="Times New Roman" w:cs="Times New Roman"/>
          <w:sz w:val="30"/>
          <w:szCs w:val="30"/>
        </w:rPr>
        <w:t>2</w:t>
      </w:r>
      <w:r w:rsidRPr="00DE37A8">
        <w:rPr>
          <w:rFonts w:ascii="Times New Roman" w:eastAsia="Calibri" w:hAnsi="Times New Roman" w:cs="Times New Roman"/>
          <w:sz w:val="30"/>
          <w:szCs w:val="30"/>
          <w:lang w:val="en-US"/>
        </w:rPr>
        <w:t>B</w:t>
      </w:r>
      <w:r w:rsidRPr="00DE37A8">
        <w:rPr>
          <w:rFonts w:ascii="Times New Roman" w:eastAsia="Calibri" w:hAnsi="Times New Roman" w:cs="Times New Roman"/>
          <w:sz w:val="30"/>
          <w:szCs w:val="30"/>
        </w:rPr>
        <w:t xml:space="preserve">, </w:t>
      </w:r>
      <w:r w:rsidRPr="00DE37A8">
        <w:rPr>
          <w:rFonts w:ascii="Times New Roman" w:eastAsia="Calibri" w:hAnsi="Times New Roman" w:cs="Times New Roman"/>
          <w:sz w:val="30"/>
          <w:szCs w:val="30"/>
          <w:lang w:val="en-US"/>
        </w:rPr>
        <w:t>MP</w:t>
      </w:r>
      <w:r w:rsidRPr="00DE37A8">
        <w:rPr>
          <w:rFonts w:ascii="Times New Roman" w:eastAsia="Calibri" w:hAnsi="Times New Roman" w:cs="Times New Roman"/>
          <w:sz w:val="30"/>
          <w:szCs w:val="30"/>
        </w:rPr>
        <w:t>2</w:t>
      </w:r>
      <w:r w:rsidRPr="00DE37A8">
        <w:rPr>
          <w:rFonts w:ascii="Times New Roman" w:eastAsia="Calibri" w:hAnsi="Times New Roman" w:cs="Times New Roman"/>
          <w:sz w:val="30"/>
          <w:szCs w:val="30"/>
          <w:lang w:val="en-US"/>
        </w:rPr>
        <w:t>P</w:t>
      </w:r>
      <w:r w:rsidRPr="00DE37A8">
        <w:rPr>
          <w:rFonts w:ascii="Times New Roman" w:eastAsia="Calibri" w:hAnsi="Times New Roman" w:cs="Times New Roman"/>
          <w:sz w:val="30"/>
          <w:szCs w:val="30"/>
        </w:rPr>
        <w:t xml:space="preserve">, </w:t>
      </w:r>
      <w:r w:rsidRPr="00DE37A8">
        <w:rPr>
          <w:rFonts w:ascii="Times New Roman" w:eastAsia="Calibri" w:hAnsi="Times New Roman" w:cs="Times New Roman"/>
          <w:sz w:val="30"/>
          <w:szCs w:val="30"/>
          <w:lang w:val="en-US"/>
        </w:rPr>
        <w:t>OTHR</w:t>
      </w:r>
      <w:r w:rsidRPr="00DE37A8">
        <w:rPr>
          <w:rFonts w:ascii="Times New Roman" w:eastAsia="Calibri" w:hAnsi="Times New Roman" w:cs="Times New Roman"/>
          <w:sz w:val="30"/>
          <w:szCs w:val="30"/>
        </w:rPr>
        <w:t>:</w:t>
      </w:r>
    </w:p>
    <w:p w:rsidR="00DE37A8" w:rsidRPr="00DE37A8" w:rsidRDefault="00DE37A8" w:rsidP="00DE37A8">
      <w:pPr>
        <w:spacing w:after="0" w:line="240" w:lineRule="auto"/>
        <w:ind w:left="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где:</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bookmarkStart w:id="1" w:name="_Hlk110495686"/>
      <w:r w:rsidRPr="00DE37A8">
        <w:rPr>
          <w:rFonts w:ascii="Times New Roman" w:eastAsia="Calibri" w:hAnsi="Times New Roman" w:cs="Times New Roman"/>
          <w:sz w:val="30"/>
          <w:szCs w:val="30"/>
          <w:lang w:val="en-US"/>
        </w:rPr>
        <w:t>CASH</w:t>
      </w:r>
      <w:bookmarkEnd w:id="1"/>
      <w:r w:rsidRPr="00DE37A8">
        <w:rPr>
          <w:rFonts w:ascii="Times New Roman" w:eastAsia="Calibri" w:hAnsi="Times New Roman" w:cs="Times New Roman"/>
          <w:sz w:val="30"/>
          <w:szCs w:val="30"/>
        </w:rPr>
        <w:t xml:space="preserve"> – </w:t>
      </w:r>
      <w:bookmarkStart w:id="2" w:name="_Hlk83887277"/>
      <w:r w:rsidRPr="00DE37A8">
        <w:rPr>
          <w:rFonts w:ascii="Times New Roman" w:eastAsia="Calibri" w:hAnsi="Times New Roman" w:cs="Times New Roman"/>
          <w:sz w:val="30"/>
          <w:szCs w:val="30"/>
        </w:rPr>
        <w:t>платеж наличными денежными средствами. Перечисление денежных средств, принятых наличными денежными средствами</w:t>
      </w:r>
      <w:bookmarkEnd w:id="2"/>
      <w:r w:rsidRPr="00DE37A8">
        <w:rPr>
          <w:rFonts w:ascii="Times New Roman" w:eastAsia="Calibri" w:hAnsi="Times New Roman" w:cs="Times New Roman"/>
          <w:sz w:val="30"/>
          <w:szCs w:val="30"/>
          <w:vertAlign w:val="superscript"/>
        </w:rPr>
        <w:footnoteReference w:id="1"/>
      </w:r>
      <w:r w:rsidRPr="00DE37A8">
        <w:rPr>
          <w:rFonts w:ascii="Times New Roman" w:eastAsia="Calibri" w:hAnsi="Times New Roman" w:cs="Times New Roman"/>
          <w:sz w:val="30"/>
          <w:szCs w:val="30"/>
        </w:rPr>
        <w:t xml:space="preserve"> (платежи без открытия счета и пополнение текущего (расчетного) банковского счета, счета по учету вклада (депозита) и иных счетов через кассу банка);</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lang w:val="en-US"/>
        </w:rPr>
        <w:t>EPAY</w:t>
      </w:r>
      <w:r w:rsidRPr="00DE37A8">
        <w:rPr>
          <w:rFonts w:ascii="Times New Roman" w:eastAsia="Calibri" w:hAnsi="Times New Roman" w:cs="Times New Roman"/>
          <w:sz w:val="30"/>
          <w:szCs w:val="30"/>
        </w:rPr>
        <w:t xml:space="preserve"> – платежи в электронной коммерции (планируется использовать при проведении платежей поставщиками платежных услуг, которые появятся после вступления в силу норм Закона</w:t>
      </w:r>
      <w:r w:rsidRPr="00DE37A8">
        <w:rPr>
          <w:rFonts w:ascii="Times New Roman" w:eastAsia="Calibri" w:hAnsi="Times New Roman" w:cs="Times New Roman"/>
          <w:bCs/>
          <w:sz w:val="30"/>
          <w:szCs w:val="30"/>
        </w:rPr>
        <w:t xml:space="preserve"> Республики Беларусь от 19 апреля 2022 г. № 164-З ˮО платежных системах и платежных услугах“, деятельность которых будет связана с платежами за товары и услуги в сети Интернет</w:t>
      </w:r>
      <w:r w:rsidRPr="00DE37A8">
        <w:rPr>
          <w:rFonts w:ascii="Times New Roman" w:eastAsia="Calibri" w:hAnsi="Times New Roman" w:cs="Times New Roman"/>
          <w:sz w:val="30"/>
          <w:szCs w:val="30"/>
        </w:rPr>
        <w:t>);</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lang w:val="en-US"/>
        </w:rPr>
        <w:t>MP</w:t>
      </w:r>
      <w:r w:rsidRPr="00DE37A8">
        <w:rPr>
          <w:rFonts w:ascii="Times New Roman" w:eastAsia="Calibri" w:hAnsi="Times New Roman" w:cs="Times New Roman"/>
          <w:sz w:val="30"/>
          <w:szCs w:val="30"/>
        </w:rPr>
        <w:t>2</w:t>
      </w:r>
      <w:r w:rsidRPr="00DE37A8">
        <w:rPr>
          <w:rFonts w:ascii="Times New Roman" w:eastAsia="Calibri" w:hAnsi="Times New Roman" w:cs="Times New Roman"/>
          <w:sz w:val="30"/>
          <w:szCs w:val="30"/>
          <w:lang w:val="en-US"/>
        </w:rPr>
        <w:t>B</w:t>
      </w:r>
      <w:r w:rsidRPr="00DE37A8">
        <w:rPr>
          <w:rFonts w:ascii="Times New Roman" w:eastAsia="Calibri" w:hAnsi="Times New Roman" w:cs="Times New Roman"/>
          <w:sz w:val="30"/>
          <w:szCs w:val="30"/>
        </w:rPr>
        <w:t xml:space="preserve"> – перевод с использованием мобильного приложения в адрес организации. Платежи с текущих (расчетных) банковских счетов физических лиц на счета юридических лиц с использованием систем дистанционного банковского обслуживания (СДБО) и платежных программных приложений, за исключением платежей, осуществляемых для исполнения денежных обязательств посредством автоматизированной информационной системы исполнения денежных обязательств (далее – АИС ИДО);</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lang w:val="en-US"/>
        </w:rPr>
        <w:t>MP</w:t>
      </w:r>
      <w:r w:rsidRPr="00DE37A8">
        <w:rPr>
          <w:rFonts w:ascii="Times New Roman" w:eastAsia="Calibri" w:hAnsi="Times New Roman" w:cs="Times New Roman"/>
          <w:sz w:val="30"/>
          <w:szCs w:val="30"/>
        </w:rPr>
        <w:t>2</w:t>
      </w:r>
      <w:r w:rsidRPr="00DE37A8">
        <w:rPr>
          <w:rFonts w:ascii="Times New Roman" w:eastAsia="Calibri" w:hAnsi="Times New Roman" w:cs="Times New Roman"/>
          <w:sz w:val="30"/>
          <w:szCs w:val="30"/>
          <w:lang w:val="en-US"/>
        </w:rPr>
        <w:t>P</w:t>
      </w:r>
      <w:r w:rsidRPr="00DE37A8">
        <w:rPr>
          <w:rFonts w:ascii="Times New Roman" w:eastAsia="Calibri" w:hAnsi="Times New Roman" w:cs="Times New Roman"/>
          <w:sz w:val="30"/>
          <w:szCs w:val="30"/>
        </w:rPr>
        <w:t xml:space="preserve"> – перевод с использованием мобильного приложения в адрес физического лица. Платежи с текущих (расчетных) банковских счетов физических лиц на счета физических лиц с использованием СДБО и платежных программных приложений, за исключением платежей, осуществляемых для исполнения денежных обязательств посредством АИС ИДО;</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lang w:val="en-US"/>
        </w:rPr>
        <w:t>OTHR</w:t>
      </w:r>
      <w:r w:rsidRPr="00DE37A8">
        <w:rPr>
          <w:rFonts w:ascii="Times New Roman" w:eastAsia="Calibri" w:hAnsi="Times New Roman" w:cs="Times New Roman"/>
          <w:sz w:val="30"/>
          <w:szCs w:val="30"/>
        </w:rPr>
        <w:t xml:space="preserve"> – иной платеж. Платежи со счетов государственных органов, юридических лиц, индивидуальных предпринимателей, а также физических лиц в случае, когда их денежные обязательства исполняются посредством АИС ИДО.</w:t>
      </w:r>
    </w:p>
    <w:p w:rsidR="00DE37A8" w:rsidRPr="00DE37A8" w:rsidRDefault="00DE37A8" w:rsidP="00DE37A8">
      <w:pPr>
        <w:spacing w:after="0" w:line="240" w:lineRule="auto"/>
        <w:ind w:firstLine="709"/>
        <w:contextualSpacing/>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Использование указанных выше кодов категории назначения перевода определено с учетом наименования кодов, приведенных в </w:t>
      </w:r>
      <w:r w:rsidRPr="00DE37A8">
        <w:rPr>
          <w:rFonts w:ascii="Times New Roman" w:eastAsia="Calibri" w:hAnsi="Times New Roman" w:cs="Times New Roman"/>
          <w:sz w:val="30"/>
          <w:szCs w:val="30"/>
        </w:rPr>
        <w:lastRenderedPageBreak/>
        <w:t>справочнике Е004, и необходимости их адаптации для использования внутри Республики Беларусь с учетом вида и способа осуществления платежа (наличная, безналичная форма, платеж с текущего (</w:t>
      </w:r>
      <w:proofErr w:type="gramStart"/>
      <w:r w:rsidRPr="00DE37A8">
        <w:rPr>
          <w:rFonts w:ascii="Times New Roman" w:eastAsia="Calibri" w:hAnsi="Times New Roman" w:cs="Times New Roman"/>
          <w:sz w:val="30"/>
          <w:szCs w:val="30"/>
        </w:rPr>
        <w:t>расчетного)  банковского</w:t>
      </w:r>
      <w:proofErr w:type="gramEnd"/>
      <w:r w:rsidRPr="00DE37A8">
        <w:rPr>
          <w:rFonts w:ascii="Times New Roman" w:eastAsia="Calibri" w:hAnsi="Times New Roman" w:cs="Times New Roman"/>
          <w:sz w:val="30"/>
          <w:szCs w:val="30"/>
        </w:rPr>
        <w:t xml:space="preserve"> счета физического лица, юридического лица и т.д.). </w:t>
      </w:r>
    </w:p>
    <w:p w:rsidR="00DE37A8" w:rsidRPr="00DE37A8" w:rsidRDefault="00DE37A8" w:rsidP="00DE37A8">
      <w:pPr>
        <w:spacing w:after="0" w:line="240" w:lineRule="auto"/>
        <w:ind w:firstLine="709"/>
        <w:contextualSpacing/>
        <w:jc w:val="both"/>
        <w:rPr>
          <w:rFonts w:ascii="Times New Roman" w:eastAsia="Calibri" w:hAnsi="Times New Roman" w:cs="Times New Roman"/>
          <w:b/>
          <w:sz w:val="30"/>
          <w:szCs w:val="30"/>
          <w:u w:val="single"/>
        </w:rPr>
      </w:pPr>
      <w:r w:rsidRPr="00DE37A8">
        <w:rPr>
          <w:rFonts w:ascii="Times New Roman" w:eastAsia="Calibri" w:hAnsi="Times New Roman" w:cs="Times New Roman"/>
          <w:b/>
          <w:sz w:val="30"/>
          <w:szCs w:val="30"/>
        </w:rPr>
        <w:t>Таким образом, использование других кодов из справочника Е004 не рекомендуется. Поэтому, считаем целесообразным осуществлять контроль на недопустимость использования клиентами иных кодов из справочника Е004 на стороне банка путем ограничения использования не указанных выше кодов либо установлением соответствующих контролей.</w:t>
      </w:r>
    </w:p>
    <w:p w:rsidR="00DE37A8" w:rsidRPr="00DE37A8" w:rsidRDefault="00DE37A8" w:rsidP="00DE37A8">
      <w:pPr>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Дополнительно стоит отметить, что для государственных органов и организаций, финансируемых из бюджета, предусмотрено использование кодов назначения платежа 90103, 90104 и 90105. Порядок использование таких кодов определен Министерством финансов и доведен до плательщиков.</w:t>
      </w:r>
    </w:p>
    <w:p w:rsidR="00DE37A8" w:rsidRPr="00DE37A8" w:rsidRDefault="00DE37A8" w:rsidP="00DE37A8">
      <w:pPr>
        <w:spacing w:after="0" w:line="240" w:lineRule="auto"/>
        <w:ind w:firstLine="709"/>
        <w:jc w:val="both"/>
        <w:rPr>
          <w:rFonts w:ascii="Times New Roman" w:eastAsia="Calibri" w:hAnsi="Times New Roman" w:cs="Times New Roman"/>
          <w:sz w:val="30"/>
          <w:szCs w:val="30"/>
        </w:rPr>
      </w:pPr>
      <w:r w:rsidRPr="00DE37A8">
        <w:rPr>
          <w:rFonts w:ascii="Times New Roman" w:eastAsia="Times New Roman" w:hAnsi="Times New Roman" w:cs="Times New Roman"/>
          <w:sz w:val="30"/>
          <w:szCs w:val="30"/>
          <w:lang w:eastAsia="ru-RU"/>
        </w:rPr>
        <w:t>2. КНП разработан на основе Системы национальных счетов 2008</w:t>
      </w:r>
      <w:r w:rsidRPr="00DE37A8">
        <w:rPr>
          <w:rFonts w:ascii="Times New Roman" w:eastAsia="Times New Roman" w:hAnsi="Times New Roman" w:cs="Times New Roman"/>
          <w:sz w:val="30"/>
          <w:szCs w:val="30"/>
          <w:vertAlign w:val="superscript"/>
          <w:lang w:eastAsia="ru-RU"/>
        </w:rPr>
        <w:footnoteReference w:id="2"/>
      </w:r>
      <w:r w:rsidRPr="00DE37A8">
        <w:rPr>
          <w:rFonts w:ascii="Times New Roman" w:eastAsia="Times New Roman" w:hAnsi="Times New Roman" w:cs="Times New Roman"/>
          <w:sz w:val="30"/>
          <w:szCs w:val="30"/>
          <w:lang w:eastAsia="ru-RU"/>
        </w:rPr>
        <w:t xml:space="preserve">, </w:t>
      </w:r>
      <w:r w:rsidRPr="00DE37A8">
        <w:rPr>
          <w:rFonts w:ascii="Times New Roman" w:eastAsia="Calibri" w:hAnsi="Times New Roman" w:cs="Times New Roman"/>
          <w:sz w:val="30"/>
          <w:szCs w:val="30"/>
        </w:rPr>
        <w:t>ТН ВЭД (товарная номенклатура внешнеэкономической деятельности)</w:t>
      </w:r>
      <w:r w:rsidRPr="00DE37A8">
        <w:rPr>
          <w:rFonts w:ascii="Times New Roman" w:eastAsia="Calibri" w:hAnsi="Times New Roman" w:cs="Times New Roman"/>
          <w:sz w:val="30"/>
          <w:szCs w:val="30"/>
          <w:vertAlign w:val="superscript"/>
        </w:rPr>
        <w:footnoteReference w:id="3"/>
      </w:r>
      <w:r w:rsidRPr="00DE37A8">
        <w:rPr>
          <w:rFonts w:ascii="Times New Roman" w:eastAsia="Calibri" w:hAnsi="Times New Roman" w:cs="Times New Roman"/>
          <w:sz w:val="30"/>
          <w:szCs w:val="30"/>
        </w:rPr>
        <w:t>, а также с учетом национальной практики в части проведения безналичных расчетов в стране в соответствии с предложениями банков, государственных органов и организаций.</w:t>
      </w:r>
    </w:p>
    <w:p w:rsidR="00DE37A8" w:rsidRPr="00DE37A8" w:rsidRDefault="00DE37A8" w:rsidP="00DE37A8">
      <w:pPr>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2.1. Раздел ˮТовары“ классифицирован в соответствии с разделами и группами ТН ВЭД. При заполнении в платежных инструкциях кодов из КНП раздела ˮТовары“ необходимо руководствоваться структурой и логикой ТН ВЭД.</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покупка юридическим лицом со своего текущего (расчетного) банковского счета семян рапса, подсолнечника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110701;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покупка юридическим лицом со своего текущего (расчетного) банковского счета сверл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111801;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платеж юридического лица со своего текущего (расчетного) банковского счета продуктов для приготовления соусов, горчичного порошка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110601;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покупка физическим лицом со своего текущего (расчетного) банковского счета у юридического лица легкового автомобиля – </w:t>
      </w:r>
      <w:r w:rsidRPr="00DE37A8">
        <w:rPr>
          <w:rFonts w:ascii="Times New Roman" w:eastAsia="Calibri" w:hAnsi="Times New Roman" w:cs="Times New Roman"/>
          <w:i/>
          <w:iCs/>
          <w:sz w:val="30"/>
          <w:szCs w:val="30"/>
          <w:lang w:val="en-US"/>
        </w:rPr>
        <w:t>MP</w:t>
      </w:r>
      <w:r w:rsidRPr="00DE37A8">
        <w:rPr>
          <w:rFonts w:ascii="Times New Roman" w:eastAsia="Calibri" w:hAnsi="Times New Roman" w:cs="Times New Roman"/>
          <w:i/>
          <w:iCs/>
          <w:sz w:val="30"/>
          <w:szCs w:val="30"/>
        </w:rPr>
        <w:t>2</w:t>
      </w:r>
      <w:r w:rsidRPr="00DE37A8">
        <w:rPr>
          <w:rFonts w:ascii="Times New Roman" w:eastAsia="Calibri" w:hAnsi="Times New Roman" w:cs="Times New Roman"/>
          <w:i/>
          <w:iCs/>
          <w:sz w:val="30"/>
          <w:szCs w:val="30"/>
          <w:lang w:val="en-US"/>
        </w:rPr>
        <w:t>B</w:t>
      </w:r>
      <w:r w:rsidRPr="00DE37A8">
        <w:rPr>
          <w:rFonts w:ascii="Times New Roman" w:eastAsia="Calibri" w:hAnsi="Times New Roman" w:cs="Times New Roman"/>
          <w:i/>
          <w:iCs/>
          <w:sz w:val="30"/>
          <w:szCs w:val="30"/>
        </w:rPr>
        <w:t xml:space="preserve"> 112101.</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lastRenderedPageBreak/>
        <w:t>2.2. Раздел ˮНефинансовые услуги“ классифицирован в соответствии с документом ˮРуководство по платежному балансу и международной инвестиционной позиции“</w:t>
      </w:r>
      <w:r w:rsidRPr="00DE37A8">
        <w:rPr>
          <w:rFonts w:ascii="Times New Roman" w:eastAsia="Calibri" w:hAnsi="Times New Roman" w:cs="Times New Roman"/>
          <w:sz w:val="30"/>
          <w:szCs w:val="30"/>
          <w:vertAlign w:val="superscript"/>
        </w:rPr>
        <w:footnoteReference w:id="4"/>
      </w:r>
      <w:r w:rsidRPr="00DE37A8">
        <w:rPr>
          <w:rFonts w:ascii="Times New Roman" w:eastAsia="Calibri" w:hAnsi="Times New Roman" w:cs="Times New Roman"/>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 xml:space="preserve">: </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платеж физического лица со своего текущего (расчетного) банковского счета юридическому лицу в оплату за услуги по строительству дома –</w:t>
      </w:r>
      <w:r w:rsidRPr="00DE37A8">
        <w:rPr>
          <w:rFonts w:ascii="Times New Roman" w:eastAsia="Calibri" w:hAnsi="Times New Roman" w:cs="Times New Roman"/>
          <w:i/>
          <w:iCs/>
          <w:sz w:val="30"/>
          <w:szCs w:val="30"/>
          <w:lang w:val="en-US"/>
        </w:rPr>
        <w:t>MP</w:t>
      </w:r>
      <w:r w:rsidRPr="00DE37A8">
        <w:rPr>
          <w:rFonts w:ascii="Times New Roman" w:eastAsia="Calibri" w:hAnsi="Times New Roman" w:cs="Times New Roman"/>
          <w:i/>
          <w:iCs/>
          <w:sz w:val="30"/>
          <w:szCs w:val="30"/>
        </w:rPr>
        <w:t>2</w:t>
      </w:r>
      <w:r w:rsidRPr="00DE37A8">
        <w:rPr>
          <w:rFonts w:ascii="Times New Roman" w:eastAsia="Calibri" w:hAnsi="Times New Roman" w:cs="Times New Roman"/>
          <w:i/>
          <w:iCs/>
          <w:sz w:val="30"/>
          <w:szCs w:val="30"/>
          <w:lang w:val="en-US"/>
        </w:rPr>
        <w:t>B</w:t>
      </w:r>
      <w:r w:rsidRPr="00DE37A8">
        <w:rPr>
          <w:rFonts w:ascii="Times New Roman" w:eastAsia="Calibri" w:hAnsi="Times New Roman" w:cs="Times New Roman"/>
          <w:i/>
          <w:iCs/>
          <w:sz w:val="30"/>
          <w:szCs w:val="30"/>
        </w:rPr>
        <w:t xml:space="preserve"> 121301;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платеж физического лица юридическому лицу в кассе банка в оплату за услуги по строительству дома – </w:t>
      </w:r>
      <w:r w:rsidRPr="00DE37A8">
        <w:rPr>
          <w:rFonts w:ascii="Times New Roman" w:eastAsia="Calibri" w:hAnsi="Times New Roman" w:cs="Times New Roman"/>
          <w:i/>
          <w:iCs/>
          <w:sz w:val="30"/>
          <w:szCs w:val="30"/>
          <w:lang w:val="en-US"/>
        </w:rPr>
        <w:t>CASH</w:t>
      </w:r>
      <w:r w:rsidRPr="00DE37A8">
        <w:rPr>
          <w:rFonts w:ascii="Times New Roman" w:eastAsia="Calibri" w:hAnsi="Times New Roman" w:cs="Times New Roman"/>
          <w:i/>
          <w:iCs/>
          <w:sz w:val="30"/>
          <w:szCs w:val="30"/>
        </w:rPr>
        <w:t xml:space="preserve"> 121301;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платеж юридического лица со своего текущего (расчетного) банковского счета за разработку бизнес-плана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122101.</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2.3. Раздел ˮЗаработная плата и иные выплаты“ классифицирован в соответствии с национальной практикой и необходимостью идентификации зачислений заработной платы и выплат социального характера в связи с реализацией норм Указа о базовом счете </w:t>
      </w:r>
      <w:r w:rsidRPr="00DE37A8">
        <w:rPr>
          <w:rFonts w:ascii="Times New Roman" w:eastAsia="Calibri" w:hAnsi="Times New Roman" w:cs="Times New Roman"/>
          <w:color w:val="000000"/>
          <w:sz w:val="30"/>
          <w:szCs w:val="30"/>
        </w:rPr>
        <w:t xml:space="preserve">и </w:t>
      </w:r>
      <w:r w:rsidRPr="00DE37A8">
        <w:rPr>
          <w:rFonts w:ascii="Times New Roman" w:eastAsia="Calibri" w:hAnsi="Times New Roman" w:cs="Times New Roman"/>
          <w:sz w:val="30"/>
          <w:szCs w:val="30"/>
        </w:rPr>
        <w:t>постановления Совета Министров Республики Беларусь и Национального банка Республики Беларусь от 22 февраля 2022 г. № 93/</w:t>
      </w:r>
      <w:proofErr w:type="gramStart"/>
      <w:r w:rsidRPr="00DE37A8">
        <w:rPr>
          <w:rFonts w:ascii="Times New Roman" w:eastAsia="Calibri" w:hAnsi="Times New Roman" w:cs="Times New Roman"/>
          <w:sz w:val="30"/>
          <w:szCs w:val="30"/>
        </w:rPr>
        <w:t>3 ”Об</w:t>
      </w:r>
      <w:proofErr w:type="gramEnd"/>
      <w:r w:rsidRPr="00DE37A8">
        <w:rPr>
          <w:rFonts w:ascii="Times New Roman" w:eastAsia="Calibri" w:hAnsi="Times New Roman" w:cs="Times New Roman"/>
          <w:sz w:val="30"/>
          <w:szCs w:val="30"/>
        </w:rPr>
        <w:t xml:space="preserve"> определении перечня выплат социального характера“.</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2.3.1. С учетом норм Указа с 1 марта 2022 г. граждане, которые получают заработную плату на счета в банках в </w:t>
      </w:r>
      <w:proofErr w:type="gramStart"/>
      <w:r w:rsidRPr="00DE37A8">
        <w:rPr>
          <w:rFonts w:ascii="Times New Roman" w:eastAsia="Calibri" w:hAnsi="Times New Roman" w:cs="Times New Roman"/>
          <w:sz w:val="30"/>
          <w:szCs w:val="30"/>
        </w:rPr>
        <w:t>рамках ”зарплатных</w:t>
      </w:r>
      <w:proofErr w:type="gramEnd"/>
      <w:r w:rsidRPr="00DE37A8">
        <w:rPr>
          <w:rFonts w:ascii="Times New Roman" w:eastAsia="Calibri" w:hAnsi="Times New Roman" w:cs="Times New Roman"/>
          <w:sz w:val="30"/>
          <w:szCs w:val="30"/>
        </w:rPr>
        <w:t xml:space="preserve"> проектов“, при желании имеют возможность сменить банк путем открытия базового счета в другом банке, предлагающем данную услугу.  Обязанность открытия базового счета для физических лиц, занятых в экономике, законодательством не установлена. </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Таким образом, при оформлении платежной инструкции на перечисление работодателем </w:t>
      </w:r>
      <w:r w:rsidRPr="00DE37A8">
        <w:rPr>
          <w:rFonts w:ascii="Times New Roman" w:eastAsia="Calibri" w:hAnsi="Times New Roman" w:cs="Times New Roman"/>
          <w:b/>
          <w:bCs/>
          <w:sz w:val="30"/>
          <w:szCs w:val="30"/>
          <w:u w:val="single"/>
        </w:rPr>
        <w:t xml:space="preserve">заработной платы и приравненных к ней выплат </w:t>
      </w:r>
      <w:bookmarkStart w:id="3" w:name="_Hlk110416533"/>
      <w:r w:rsidRPr="00DE37A8">
        <w:rPr>
          <w:rFonts w:ascii="Times New Roman" w:eastAsia="Calibri" w:hAnsi="Times New Roman" w:cs="Times New Roman"/>
          <w:sz w:val="30"/>
          <w:szCs w:val="30"/>
        </w:rPr>
        <w:t>могут применяться код назначения платежа 30101 – если заработная плата перечисляется на балансовый счет 3034 (признак базового счета), код назначения платежа 30102 – при указании иного балансового счета</w:t>
      </w:r>
      <w:bookmarkEnd w:id="3"/>
      <w:r w:rsidRPr="00DE37A8">
        <w:rPr>
          <w:rFonts w:ascii="Times New Roman" w:eastAsia="Calibri" w:hAnsi="Times New Roman" w:cs="Times New Roman"/>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2.3.2. Физические лица, впервые изъявившие с 1 июля 2022 г. желание получать стипендии, выплаты социального характера, включая пенсию, через банк (взамен ранее применявшегося способа выплаты причитающихся денежных средств) обязаны открыть для этой цели базовый счет; физические лица, которым с 1 июля 2022 г. </w:t>
      </w:r>
      <w:proofErr w:type="gramStart"/>
      <w:r w:rsidRPr="00DE37A8">
        <w:rPr>
          <w:rFonts w:ascii="Times New Roman" w:eastAsia="Calibri" w:hAnsi="Times New Roman" w:cs="Times New Roman"/>
          <w:sz w:val="30"/>
          <w:szCs w:val="30"/>
        </w:rPr>
        <w:t>назначается  стипендия</w:t>
      </w:r>
      <w:proofErr w:type="gramEnd"/>
      <w:r w:rsidRPr="00DE37A8">
        <w:rPr>
          <w:rFonts w:ascii="Times New Roman" w:eastAsia="Calibri" w:hAnsi="Times New Roman" w:cs="Times New Roman"/>
          <w:sz w:val="30"/>
          <w:szCs w:val="30"/>
        </w:rPr>
        <w:t xml:space="preserve">, выплата социального характера, включая пенсию, и которые изъявили желание получать их через банк, обязаны открыть для этой цели базовый счет. Физические лица, получающие стипендию, выплаты социального характера, включая пенсию, через банки и изъявившие желание продолжить их получение через банки либо обязанные в </w:t>
      </w:r>
      <w:r w:rsidRPr="00DE37A8">
        <w:rPr>
          <w:rFonts w:ascii="Times New Roman" w:eastAsia="Calibri" w:hAnsi="Times New Roman" w:cs="Times New Roman"/>
          <w:sz w:val="30"/>
          <w:szCs w:val="30"/>
        </w:rPr>
        <w:lastRenderedPageBreak/>
        <w:t>соответствии с актами законодательства получать стипендию, выплаты социального характера через банки, до 1 июля 2025 г. открывают базовые счета или осуществляют операции переоформления текущих (расчетных) банковских счетов физических лиц в базовые счета. То есть у физического лица, которое по состоянию на 1 июля 2022 г. уже получало стипендию, выплату социального характера через банк, есть право получать их не на базовый счет вплоть до 1 июля 2025 г.</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Таким образом до 1 июля 2025 г. </w:t>
      </w:r>
      <w:bookmarkStart w:id="4" w:name="_Hlk110413080"/>
      <w:r w:rsidRPr="00DE37A8">
        <w:rPr>
          <w:rFonts w:ascii="Times New Roman" w:eastAsia="Calibri" w:hAnsi="Times New Roman" w:cs="Times New Roman"/>
          <w:sz w:val="30"/>
          <w:szCs w:val="30"/>
        </w:rPr>
        <w:t xml:space="preserve">при оформлении платежной инструкции на перечисление </w:t>
      </w:r>
      <w:r w:rsidRPr="00DE37A8">
        <w:rPr>
          <w:rFonts w:ascii="Times New Roman" w:eastAsia="Calibri" w:hAnsi="Times New Roman" w:cs="Times New Roman"/>
          <w:b/>
          <w:bCs/>
          <w:sz w:val="30"/>
          <w:szCs w:val="30"/>
          <w:u w:val="single"/>
        </w:rPr>
        <w:t xml:space="preserve">выплат социального характера, включая пенсию, </w:t>
      </w:r>
      <w:r w:rsidRPr="00DE37A8">
        <w:rPr>
          <w:rFonts w:ascii="Times New Roman" w:eastAsia="Calibri" w:hAnsi="Times New Roman" w:cs="Times New Roman"/>
          <w:sz w:val="30"/>
          <w:szCs w:val="30"/>
        </w:rPr>
        <w:t>применяется код назначения платежа – 30402 (</w:t>
      </w:r>
      <w:bookmarkEnd w:id="4"/>
      <w:r w:rsidRPr="00DE37A8">
        <w:rPr>
          <w:rFonts w:ascii="Times New Roman" w:eastAsia="Calibri" w:hAnsi="Times New Roman" w:cs="Times New Roman"/>
          <w:sz w:val="30"/>
          <w:szCs w:val="30"/>
        </w:rPr>
        <w:t xml:space="preserve">при перечислении на балансовый счет 3034), код назначения платежа – 30401 (при перечислении на иные балансовые счета). </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Справочно. После 1 июля 2025 г. при оформлении платежной инструкции на перечисление выплат социального характера, включая пенсию, применяется код назначения платежа – 30402. Исключение составляют пенсии, выплачиваемые (экспортируемые) в Республику Беларусь в соответствии с международными договорами Республики Беларусь, пенсии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иные выплаты социального характера, не подлежащие в обязательном порядке в соответствии с законодательством зачислению на базовые счета – при оформлении платежных инструкций на перечисление данных выплат применяется код назначения платежа 30401.</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2.3.3. При оформлении платежной инструкции на перечисление </w:t>
      </w:r>
      <w:r w:rsidRPr="00DE37A8">
        <w:rPr>
          <w:rFonts w:ascii="Times New Roman" w:eastAsia="Calibri" w:hAnsi="Times New Roman" w:cs="Times New Roman"/>
          <w:b/>
          <w:bCs/>
          <w:sz w:val="30"/>
          <w:szCs w:val="30"/>
          <w:u w:val="single"/>
        </w:rPr>
        <w:t>стипендий, надбавок к стипендиям, материальной помощи</w:t>
      </w:r>
      <w:r w:rsidRPr="00DE37A8">
        <w:rPr>
          <w:rFonts w:ascii="Times New Roman" w:eastAsia="Calibri" w:hAnsi="Times New Roman" w:cs="Times New Roman"/>
          <w:sz w:val="30"/>
          <w:szCs w:val="30"/>
        </w:rPr>
        <w:t xml:space="preserve"> обучающимися применяется код назначения платежа 30301.</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Обращаем внимание, что в соответствии с нормами локальных правовых актов юридических лиц, лицам пенсионного возраста могут выплачиваться иные выплаты (материальная помощь и прочие). С учетом норм постановления Совета Министров Республики Беларусь и Национального банка Республики Беларусь от 22 февраля 2022 г. № 93/</w:t>
      </w:r>
      <w:proofErr w:type="gramStart"/>
      <w:r w:rsidRPr="00DE37A8">
        <w:rPr>
          <w:rFonts w:ascii="Times New Roman" w:eastAsia="Calibri" w:hAnsi="Times New Roman" w:cs="Times New Roman"/>
          <w:sz w:val="30"/>
          <w:szCs w:val="30"/>
        </w:rPr>
        <w:t>3 ”Об</w:t>
      </w:r>
      <w:proofErr w:type="gramEnd"/>
      <w:r w:rsidRPr="00DE37A8">
        <w:rPr>
          <w:rFonts w:ascii="Times New Roman" w:eastAsia="Calibri" w:hAnsi="Times New Roman" w:cs="Times New Roman"/>
          <w:sz w:val="30"/>
          <w:szCs w:val="30"/>
        </w:rPr>
        <w:t xml:space="preserve"> определении перечня выплат социального характера“ данные выплаты не являются  выплатами социального характера и при оформлении платежной инструкции на их перечисление применятся код назначения платежа 30901.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перечисление юридическим лицом со своего текущего (расчетного) банковского счета заработной платы физическим лицам на базовый счет – OTHR 130101;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lastRenderedPageBreak/>
        <w:t>перечисление физическим лицом в кассе банка алиментов – CASH 130103.</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2.4. Раздел ˮФинансовые операции“ классифицирован в соответствии с национальной практикой для идентификации платежей участников финансового рынка.</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перевод физическим лицом со своего текущего (расчетного) банковского счета физическому лицу – МР2Р 140103;</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перевод денежных средств агентом банку-эмитенту в связи с распространением электронных денег банка-эмитента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140207;</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перечисление физическим лицом со своего текущего (расчетного) банковского счета вознаграждения оператору сервиса онлайн-заимствования по договору возмездного оказания услуг – МР2В 140501;</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перечисление работником неизрасходованных сумм, выданных под отчет для совершения текущих операций по приобретению товаров (работ) услуг в кассе банка – </w:t>
      </w:r>
      <w:r w:rsidRPr="00DE37A8">
        <w:rPr>
          <w:rFonts w:ascii="Times New Roman" w:eastAsia="Calibri" w:hAnsi="Times New Roman" w:cs="Times New Roman"/>
          <w:i/>
          <w:iCs/>
          <w:sz w:val="30"/>
          <w:szCs w:val="30"/>
          <w:lang w:val="en-US"/>
        </w:rPr>
        <w:t>CASH</w:t>
      </w:r>
      <w:r w:rsidRPr="00DE37A8">
        <w:rPr>
          <w:rFonts w:ascii="Times New Roman" w:eastAsia="Calibri" w:hAnsi="Times New Roman" w:cs="Times New Roman"/>
          <w:i/>
          <w:iCs/>
          <w:sz w:val="30"/>
          <w:szCs w:val="30"/>
        </w:rPr>
        <w:t xml:space="preserve"> 140602;</w:t>
      </w:r>
    </w:p>
    <w:p w:rsidR="00DE37A8" w:rsidRPr="00DE37A8" w:rsidRDefault="00DE37A8" w:rsidP="00DE37A8">
      <w:pPr>
        <w:spacing w:after="0" w:line="240" w:lineRule="auto"/>
        <w:ind w:firstLine="709"/>
        <w:jc w:val="both"/>
        <w:rPr>
          <w:rFonts w:ascii="Times New Roman" w:eastAsia="Calibri" w:hAnsi="Times New Roman" w:cs="Times New Roman"/>
          <w:i/>
          <w:sz w:val="30"/>
          <w:szCs w:val="30"/>
        </w:rPr>
      </w:pPr>
      <w:r w:rsidRPr="00DE37A8">
        <w:rPr>
          <w:rFonts w:ascii="Times New Roman" w:eastAsia="Calibri" w:hAnsi="Times New Roman" w:cs="Times New Roman"/>
          <w:i/>
          <w:iCs/>
          <w:sz w:val="30"/>
          <w:szCs w:val="30"/>
        </w:rPr>
        <w:t xml:space="preserve">возврат банком клиенту денежных средств, переданных в доверительное управление – </w:t>
      </w:r>
      <w:r w:rsidRPr="00DE37A8">
        <w:rPr>
          <w:rFonts w:ascii="Times New Roman" w:eastAsia="Calibri" w:hAnsi="Times New Roman" w:cs="Times New Roman"/>
          <w:i/>
          <w:sz w:val="30"/>
          <w:szCs w:val="30"/>
          <w:lang w:val="en-US"/>
        </w:rPr>
        <w:t>OTHR</w:t>
      </w:r>
      <w:r w:rsidRPr="00DE37A8">
        <w:rPr>
          <w:rFonts w:ascii="Times New Roman" w:eastAsia="Calibri" w:hAnsi="Times New Roman" w:cs="Times New Roman"/>
          <w:i/>
          <w:sz w:val="30"/>
          <w:szCs w:val="30"/>
        </w:rPr>
        <w:t xml:space="preserve"> 140802;</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перевод физическим лицом со своего текущего (расчетного) банковского счета денежных средств для размещения в банковский вклад (депозит) – МР2В 141201;</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перечисление юридическим лицом со своего текущего (расчетного) банковского счета денежных средств банку в оплату за расчетное и (или) кассовое обслуживание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141601;</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pacing w:val="-2"/>
          <w:sz w:val="30"/>
          <w:szCs w:val="30"/>
        </w:rPr>
        <w:t>оплата физическим лицом в кассе банка страхового взноса по виду обязательного страхования –</w:t>
      </w:r>
      <w:r w:rsidRPr="00DE37A8">
        <w:rPr>
          <w:rFonts w:ascii="Times New Roman" w:eastAsia="Calibri" w:hAnsi="Times New Roman" w:cs="Times New Roman"/>
          <w:i/>
          <w:iCs/>
          <w:sz w:val="30"/>
          <w:szCs w:val="30"/>
        </w:rPr>
        <w:t xml:space="preserve"> </w:t>
      </w:r>
      <w:r w:rsidRPr="00DE37A8">
        <w:rPr>
          <w:rFonts w:ascii="Times New Roman" w:eastAsia="Calibri" w:hAnsi="Times New Roman" w:cs="Times New Roman"/>
          <w:i/>
          <w:iCs/>
          <w:sz w:val="30"/>
          <w:szCs w:val="30"/>
          <w:lang w:val="en-US"/>
        </w:rPr>
        <w:t>CASH</w:t>
      </w:r>
      <w:r w:rsidRPr="00DE37A8">
        <w:rPr>
          <w:rFonts w:ascii="Times New Roman" w:eastAsia="Calibri" w:hAnsi="Times New Roman" w:cs="Times New Roman"/>
          <w:i/>
          <w:iCs/>
          <w:sz w:val="30"/>
          <w:szCs w:val="30"/>
        </w:rPr>
        <w:t xml:space="preserve"> 143805;</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перечисление физическим лицом со своего текущего (расчетного) банковского счета займа физическому лицу – МР2Р 144507;</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r w:rsidRPr="00DE37A8">
        <w:rPr>
          <w:rFonts w:ascii="Times New Roman" w:eastAsia="Calibri" w:hAnsi="Times New Roman" w:cs="Times New Roman"/>
          <w:i/>
          <w:sz w:val="30"/>
          <w:szCs w:val="30"/>
        </w:rPr>
        <w:t>перечисление принятых банком</w:t>
      </w:r>
      <w:r w:rsidRPr="00DE37A8">
        <w:rPr>
          <w:rFonts w:ascii="Times New Roman" w:eastAsia="Calibri" w:hAnsi="Times New Roman" w:cs="Times New Roman"/>
          <w:i/>
          <w:spacing w:val="-2"/>
          <w:sz w:val="30"/>
          <w:szCs w:val="30"/>
        </w:rPr>
        <w:t xml:space="preserve"> от субъекта хозяйствования</w:t>
      </w:r>
      <w:r w:rsidRPr="00DE37A8">
        <w:rPr>
          <w:rFonts w:ascii="Times New Roman" w:eastAsia="Calibri" w:hAnsi="Times New Roman" w:cs="Times New Roman"/>
          <w:i/>
          <w:sz w:val="30"/>
          <w:szCs w:val="30"/>
        </w:rPr>
        <w:t xml:space="preserve"> наличных денежных средств, полученных субъектом хозяйствования с использованием кассового оборудования, </w:t>
      </w:r>
      <w:r w:rsidRPr="00DE37A8">
        <w:rPr>
          <w:rFonts w:ascii="Times New Roman" w:eastAsia="Calibri" w:hAnsi="Times New Roman" w:cs="Times New Roman"/>
          <w:i/>
          <w:spacing w:val="-2"/>
          <w:sz w:val="30"/>
          <w:szCs w:val="30"/>
        </w:rPr>
        <w:t>для дальнейшего зачисления на текущие (расчетные) банковские счета субъектов хозяйствования –</w:t>
      </w:r>
      <w:r w:rsidRPr="00DE37A8">
        <w:rPr>
          <w:rFonts w:ascii="Times New Roman" w:eastAsia="Calibri" w:hAnsi="Times New Roman" w:cs="Times New Roman"/>
          <w:i/>
          <w:iCs/>
          <w:sz w:val="30"/>
          <w:szCs w:val="30"/>
        </w:rPr>
        <w:t xml:space="preserve"> </w:t>
      </w:r>
      <w:r w:rsidRPr="00DE37A8">
        <w:rPr>
          <w:rFonts w:ascii="Times New Roman" w:eastAsia="Calibri" w:hAnsi="Times New Roman" w:cs="Times New Roman"/>
          <w:i/>
          <w:iCs/>
          <w:sz w:val="30"/>
          <w:szCs w:val="30"/>
          <w:lang w:val="en-US"/>
        </w:rPr>
        <w:t>CASH</w:t>
      </w:r>
      <w:r w:rsidRPr="00DE37A8">
        <w:rPr>
          <w:rFonts w:ascii="Times New Roman" w:eastAsia="Calibri" w:hAnsi="Times New Roman" w:cs="Times New Roman"/>
          <w:i/>
          <w:iCs/>
          <w:sz w:val="30"/>
          <w:szCs w:val="30"/>
        </w:rPr>
        <w:t xml:space="preserve"> 140402.</w:t>
      </w:r>
    </w:p>
    <w:p w:rsidR="00DE37A8" w:rsidRPr="00DE37A8" w:rsidRDefault="00DE37A8" w:rsidP="00DE37A8">
      <w:pPr>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2.5. Раздел ˮОперации с капиталом“ классифицирован в соответствии с Системой национальных счетов 2008.</w:t>
      </w:r>
    </w:p>
    <w:p w:rsidR="00DE37A8" w:rsidRPr="00DE37A8" w:rsidRDefault="00DE37A8" w:rsidP="00DE37A8">
      <w:pPr>
        <w:spacing w:after="0" w:line="240" w:lineRule="auto"/>
        <w:ind w:firstLine="709"/>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платеж физического лица в кассе банка за строительство объекта долевого строительства – </w:t>
      </w:r>
      <w:r w:rsidRPr="00DE37A8">
        <w:rPr>
          <w:rFonts w:ascii="Times New Roman" w:eastAsia="Calibri" w:hAnsi="Times New Roman" w:cs="Times New Roman"/>
          <w:i/>
          <w:iCs/>
          <w:sz w:val="30"/>
          <w:szCs w:val="30"/>
          <w:lang w:val="en-US"/>
        </w:rPr>
        <w:t>CASH</w:t>
      </w:r>
      <w:r w:rsidRPr="00DE37A8">
        <w:rPr>
          <w:rFonts w:ascii="Times New Roman" w:eastAsia="Calibri" w:hAnsi="Times New Roman" w:cs="Times New Roman"/>
          <w:i/>
          <w:iCs/>
          <w:sz w:val="30"/>
          <w:szCs w:val="30"/>
        </w:rPr>
        <w:t xml:space="preserve"> 150301;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платеж юридическим лицом со своего текущего (расчетного) банковского счета за товарный знак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150303.</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2.6. В разделе ˮПрочие“ приведены коды, которые не относятся к приведенным выше категориям и используются для кодирования </w:t>
      </w:r>
      <w:r w:rsidRPr="00DE37A8">
        <w:rPr>
          <w:rFonts w:ascii="Times New Roman" w:eastAsia="Calibri" w:hAnsi="Times New Roman" w:cs="Times New Roman"/>
          <w:sz w:val="30"/>
          <w:szCs w:val="30"/>
        </w:rPr>
        <w:lastRenderedPageBreak/>
        <w:t>платежей в бюджет, используются органами принудительного исполнения.</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3. Признак платежа (Х) принимает значение ˮ0“ в случаях возврата денежных средств. Под возвратом денежных средств понимается возврат бенефициаром плательщику ранее зачисленных (выплаченных) бенефициару денежных средств (за исключением случаев возврата (погашения) финансовых активов или обязательств). Возврат денежных средств бенефициаром может быть инициирован плательщиком в следующих случаях:</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излишне уплаченных денежных средств; </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ошибочно совершенного платежа; </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неисполнения бенефициаром обязательств, связанных с назначением платежа; </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при возврате плательщиком оплаченного товара; </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при возврате денежных средств за неоказанные услуги, за невыполненные работы;</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 xml:space="preserve">при возврате денежных средств, зачисленных на счет бенефициара в результате технической ошибки банка; </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при возврате денежных средств банком в связи с невозможностью зачисления на счета юридических и физических лиц (неверно указаны реквизиты счета, счет клиента закрыт и т.д.).</w:t>
      </w:r>
    </w:p>
    <w:p w:rsidR="00DE37A8" w:rsidRPr="00DE37A8" w:rsidRDefault="00DE37A8" w:rsidP="00DE37A8">
      <w:pPr>
        <w:tabs>
          <w:tab w:val="left" w:pos="1683"/>
        </w:tabs>
        <w:spacing w:after="0" w:line="240" w:lineRule="auto"/>
        <w:ind w:firstLine="709"/>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При исполнении денежных обязательств посредством АИС ИДО признак платежа всегда принимает значение ˮ1“.</w:t>
      </w:r>
    </w:p>
    <w:p w:rsidR="00DE37A8" w:rsidRPr="00DE37A8" w:rsidRDefault="00DE37A8" w:rsidP="00DE37A8">
      <w:pPr>
        <w:spacing w:after="0" w:line="240" w:lineRule="auto"/>
        <w:ind w:firstLine="708"/>
        <w:jc w:val="both"/>
        <w:rPr>
          <w:rFonts w:ascii="Times New Roman" w:eastAsia="Calibri" w:hAnsi="Times New Roman" w:cs="Times New Roman"/>
          <w:sz w:val="30"/>
          <w:szCs w:val="30"/>
        </w:rPr>
      </w:pPr>
      <w:r w:rsidRPr="00DE37A8">
        <w:rPr>
          <w:rFonts w:ascii="Times New Roman" w:eastAsia="Calibri" w:hAnsi="Times New Roman" w:cs="Times New Roman"/>
          <w:sz w:val="30"/>
          <w:szCs w:val="30"/>
        </w:rPr>
        <w:t>Необходимо обратить внимание, что при совершении платежа по возврату код назначения платежа проставляется тот, который был указан в платежной инструкции, на основании которой денежные средства были зачислены на счет бенефициара или на счет в банке ˮсуммы до выяснения“.</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proofErr w:type="gramStart"/>
      <w:r w:rsidRPr="00DE37A8">
        <w:rPr>
          <w:rFonts w:ascii="Times New Roman" w:eastAsia="Calibri" w:hAnsi="Times New Roman" w:cs="Times New Roman"/>
          <w:i/>
          <w:iCs/>
          <w:sz w:val="30"/>
          <w:szCs w:val="30"/>
        </w:rPr>
        <w:t>Например</w:t>
      </w:r>
      <w:proofErr w:type="gramEnd"/>
      <w:r w:rsidRPr="00DE37A8">
        <w:rPr>
          <w:rFonts w:ascii="Times New Roman" w:eastAsia="Calibri" w:hAnsi="Times New Roman" w:cs="Times New Roman"/>
          <w:i/>
          <w:iCs/>
          <w:sz w:val="30"/>
          <w:szCs w:val="30"/>
        </w:rPr>
        <w:t>:</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возврат юридическим лицом денежных средств за непоставленное мыло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011001;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возврат ошибочно перечисленных денежных средств за древесину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011401;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возврат физическим лицом физическому лицу ошибочно перечисленных денежных средств – МР2Р 040103;</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перечисление юридическим лицом физическому лицу излишне уплаченных денежных средств по договору долевого строительства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050301;</w:t>
      </w:r>
    </w:p>
    <w:p w:rsidR="00DE37A8" w:rsidRPr="00DE37A8" w:rsidRDefault="00DE37A8" w:rsidP="00DE37A8">
      <w:pPr>
        <w:spacing w:after="0" w:line="240" w:lineRule="auto"/>
        <w:ind w:firstLine="708"/>
        <w:jc w:val="both"/>
        <w:rPr>
          <w:rFonts w:ascii="Times New Roman" w:eastAsia="Calibri" w:hAnsi="Times New Roman" w:cs="Times New Roman"/>
          <w:i/>
          <w:iCs/>
          <w:sz w:val="30"/>
          <w:szCs w:val="30"/>
        </w:rPr>
      </w:pPr>
      <w:r w:rsidRPr="00DE37A8">
        <w:rPr>
          <w:rFonts w:ascii="Times New Roman" w:eastAsia="Calibri" w:hAnsi="Times New Roman" w:cs="Times New Roman"/>
          <w:i/>
          <w:iCs/>
          <w:sz w:val="30"/>
          <w:szCs w:val="30"/>
        </w:rPr>
        <w:t xml:space="preserve">возврат юридическим лицом полученной ранее предоплаты за неоказанные юридические услуги – </w:t>
      </w:r>
      <w:r w:rsidRPr="00DE37A8">
        <w:rPr>
          <w:rFonts w:ascii="Times New Roman" w:eastAsia="Calibri" w:hAnsi="Times New Roman" w:cs="Times New Roman"/>
          <w:i/>
          <w:iCs/>
          <w:sz w:val="30"/>
          <w:szCs w:val="30"/>
          <w:lang w:val="en-US"/>
        </w:rPr>
        <w:t>OTHR</w:t>
      </w:r>
      <w:r w:rsidRPr="00DE37A8">
        <w:rPr>
          <w:rFonts w:ascii="Times New Roman" w:eastAsia="Calibri" w:hAnsi="Times New Roman" w:cs="Times New Roman"/>
          <w:i/>
          <w:iCs/>
          <w:sz w:val="30"/>
          <w:szCs w:val="30"/>
        </w:rPr>
        <w:t xml:space="preserve"> 021901.</w:t>
      </w:r>
    </w:p>
    <w:p w:rsidR="00DE37A8" w:rsidRPr="00DE37A8" w:rsidRDefault="00DE37A8" w:rsidP="00DE37A8">
      <w:pPr>
        <w:spacing w:after="300" w:line="240" w:lineRule="auto"/>
        <w:ind w:firstLine="567"/>
        <w:jc w:val="both"/>
        <w:rPr>
          <w:rFonts w:ascii="Times New Roman" w:eastAsia="Times New Roman" w:hAnsi="Times New Roman" w:cs="Times New Roman"/>
          <w:sz w:val="28"/>
          <w:szCs w:val="28"/>
          <w:lang w:eastAsia="ru-RU"/>
        </w:rPr>
      </w:pPr>
    </w:p>
    <w:p w:rsidR="00DE37A8" w:rsidRDefault="00DE37A8"/>
    <w:sectPr w:rsidR="00DE37A8" w:rsidSect="004A53BF">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A8" w:rsidRDefault="00DE37A8" w:rsidP="00DE37A8">
      <w:pPr>
        <w:spacing w:after="0" w:line="240" w:lineRule="auto"/>
      </w:pPr>
      <w:r>
        <w:separator/>
      </w:r>
    </w:p>
  </w:endnote>
  <w:endnote w:type="continuationSeparator" w:id="0">
    <w:p w:rsidR="00DE37A8" w:rsidRDefault="00DE37A8" w:rsidP="00DE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A8" w:rsidRDefault="00DE37A8" w:rsidP="00DE37A8">
      <w:pPr>
        <w:spacing w:after="0" w:line="240" w:lineRule="auto"/>
      </w:pPr>
      <w:r>
        <w:separator/>
      </w:r>
    </w:p>
  </w:footnote>
  <w:footnote w:type="continuationSeparator" w:id="0">
    <w:p w:rsidR="00DE37A8" w:rsidRDefault="00DE37A8" w:rsidP="00DE37A8">
      <w:pPr>
        <w:spacing w:after="0" w:line="240" w:lineRule="auto"/>
      </w:pPr>
      <w:r>
        <w:continuationSeparator/>
      </w:r>
    </w:p>
  </w:footnote>
  <w:footnote w:id="1">
    <w:p w:rsidR="00DE37A8" w:rsidRPr="00AC792A" w:rsidRDefault="00DE37A8" w:rsidP="00DE37A8">
      <w:pPr>
        <w:pStyle w:val="a3"/>
      </w:pPr>
      <w:r>
        <w:rPr>
          <w:rStyle w:val="a5"/>
        </w:rPr>
        <w:footnoteRef/>
      </w:r>
      <w:r>
        <w:t xml:space="preserve"> В случае, если осуществляется платеж наличными денежными средствами в кассе банке для уплаты налогов, сборов и пошлин то применяются коды </w:t>
      </w:r>
      <w:r w:rsidRPr="00AC792A">
        <w:rPr>
          <w:lang w:val="en-US"/>
        </w:rPr>
        <w:t>TAXS</w:t>
      </w:r>
      <w:r w:rsidRPr="00AC792A">
        <w:t xml:space="preserve">, </w:t>
      </w:r>
      <w:r w:rsidRPr="00AC792A">
        <w:rPr>
          <w:lang w:val="en-US"/>
        </w:rPr>
        <w:t>VATX</w:t>
      </w:r>
      <w:r w:rsidRPr="00AC792A">
        <w:t xml:space="preserve">, </w:t>
      </w:r>
      <w:r w:rsidRPr="00AC792A">
        <w:rPr>
          <w:lang w:val="en-US"/>
        </w:rPr>
        <w:t>WHLD</w:t>
      </w:r>
      <w:r w:rsidRPr="00AC792A">
        <w:t>;</w:t>
      </w:r>
    </w:p>
  </w:footnote>
  <w:footnote w:id="2">
    <w:p w:rsidR="00DE37A8" w:rsidRPr="00472F25" w:rsidRDefault="00DE37A8" w:rsidP="00DE37A8">
      <w:pPr>
        <w:pStyle w:val="a3"/>
        <w:jc w:val="both"/>
      </w:pPr>
      <w:r w:rsidRPr="00472F25">
        <w:rPr>
          <w:rStyle w:val="a5"/>
        </w:rPr>
        <w:footnoteRef/>
      </w:r>
      <w:r w:rsidRPr="00472F25">
        <w:t xml:space="preserve"> </w:t>
      </w:r>
      <w:r w:rsidRPr="00472F25">
        <w:rPr>
          <w:color w:val="202124"/>
          <w:shd w:val="clear" w:color="auto" w:fill="FFFFFF"/>
        </w:rPr>
        <w:t>согласованный на международном уровне стандартный набор рекомендаций по исчислению показателей экономической деятельности в соответствии с чёткими правилами ведения </w:t>
      </w:r>
      <w:r w:rsidRPr="00472F25">
        <w:rPr>
          <w:b/>
          <w:bCs/>
          <w:color w:val="202124"/>
          <w:shd w:val="clear" w:color="auto" w:fill="FFFFFF"/>
        </w:rPr>
        <w:t>счетов</w:t>
      </w:r>
      <w:r w:rsidRPr="00472F25">
        <w:rPr>
          <w:color w:val="202124"/>
          <w:shd w:val="clear" w:color="auto" w:fill="FFFFFF"/>
        </w:rPr>
        <w:t> и учёта на макроуровне, основанными на принципах экономической теории.</w:t>
      </w:r>
      <w:r w:rsidRPr="00472F25">
        <w:t xml:space="preserve"> Разработан с участием Европейской комиссии, Международного валютного фонда, Организацией экономического сотрудничества, Организацией Объединенных Наций, Всемирным банком</w:t>
      </w:r>
      <w:r>
        <w:t>;</w:t>
      </w:r>
    </w:p>
  </w:footnote>
  <w:footnote w:id="3">
    <w:p w:rsidR="00DE37A8" w:rsidRDefault="00DE37A8" w:rsidP="00DE37A8">
      <w:pPr>
        <w:pStyle w:val="a3"/>
        <w:jc w:val="both"/>
      </w:pPr>
      <w:r>
        <w:rPr>
          <w:rStyle w:val="a5"/>
        </w:rPr>
        <w:footnoteRef/>
      </w:r>
      <w:r>
        <w:t xml:space="preserve"> у</w:t>
      </w:r>
      <w:r w:rsidRPr="00D85B6D">
        <w:t>твержден</w:t>
      </w:r>
      <w:r>
        <w:t>а</w:t>
      </w:r>
      <w:r w:rsidRPr="00D85B6D">
        <w:t xml:space="preserve"> решением Совета Евразийской экономической комиссии от 14.09.2021 № 80 ˮОб утверждении единой товарной номенклатуры внешнеэкономической деятельности</w:t>
      </w:r>
      <w:r>
        <w:t xml:space="preserve"> Евразийского экономического союза и единого таможенного тарифа Евразийского экономического союза, а также об изменении признании утратившими силу некоторых решений Евразийского экономической комиссии“.</w:t>
      </w:r>
    </w:p>
  </w:footnote>
  <w:footnote w:id="4">
    <w:p w:rsidR="00DE37A8" w:rsidRPr="007C6F40" w:rsidRDefault="00DE37A8" w:rsidP="00DE37A8">
      <w:pPr>
        <w:pStyle w:val="a3"/>
      </w:pPr>
      <w:r w:rsidRPr="007C6F40">
        <w:rPr>
          <w:rStyle w:val="a5"/>
        </w:rPr>
        <w:footnoteRef/>
      </w:r>
      <w:r w:rsidRPr="007C6F40">
        <w:t xml:space="preserve"> </w:t>
      </w:r>
      <w:r w:rsidRPr="00B06457">
        <w:t>П</w:t>
      </w:r>
      <w:r w:rsidRPr="001E6AF3">
        <w:rPr>
          <w:color w:val="4D5156"/>
          <w:shd w:val="clear" w:color="auto" w:fill="FFFFFF"/>
        </w:rPr>
        <w:t>убликуемое Международным валютным фондом руководство, которое содержит стандарты бухгалтерского учёта для формирования отчётности и анализа платёжного баланса.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A8"/>
    <w:rsid w:val="0012135B"/>
    <w:rsid w:val="004A53BF"/>
    <w:rsid w:val="00945858"/>
    <w:rsid w:val="00AC3F2F"/>
    <w:rsid w:val="00DE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01CD3-064B-479F-B70C-3C6DCAE2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37A8"/>
    <w:pPr>
      <w:spacing w:after="0" w:line="240" w:lineRule="auto"/>
    </w:pPr>
    <w:rPr>
      <w:sz w:val="20"/>
      <w:szCs w:val="20"/>
    </w:rPr>
  </w:style>
  <w:style w:type="character" w:customStyle="1" w:styleId="a4">
    <w:name w:val="Текст сноски Знак"/>
    <w:basedOn w:val="a0"/>
    <w:link w:val="a3"/>
    <w:uiPriority w:val="99"/>
    <w:semiHidden/>
    <w:rsid w:val="00DE37A8"/>
    <w:rPr>
      <w:sz w:val="20"/>
      <w:szCs w:val="20"/>
    </w:rPr>
  </w:style>
  <w:style w:type="character" w:styleId="a5">
    <w:name w:val="footnote reference"/>
    <w:basedOn w:val="a0"/>
    <w:uiPriority w:val="99"/>
    <w:unhideWhenUsed/>
    <w:rsid w:val="00DE3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Шандора Татьяна</dc:creator>
  <cp:keywords/>
  <dc:description/>
  <cp:lastModifiedBy>Шинкевич Виктория</cp:lastModifiedBy>
  <cp:revision>2</cp:revision>
  <dcterms:created xsi:type="dcterms:W3CDTF">2022-08-31T06:01:00Z</dcterms:created>
  <dcterms:modified xsi:type="dcterms:W3CDTF">2022-08-31T06:01:00Z</dcterms:modified>
</cp:coreProperties>
</file>